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4595" w:type="dxa"/>
        <w:tblInd w:w="-6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695"/>
        <w:gridCol w:w="3735"/>
        <w:gridCol w:w="1725"/>
        <w:gridCol w:w="1230"/>
        <w:gridCol w:w="5010"/>
        <w:gridCol w:w="1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60" w:hRule="atLeast"/>
        </w:trPr>
        <w:tc>
          <w:tcPr>
            <w:tcW w:w="14595" w:type="dxa"/>
            <w:gridSpan w:val="6"/>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sz w:val="44"/>
                <w:szCs w:val="44"/>
                <w:u w:val="none"/>
                <w:bdr w:val="none" w:color="auto" w:sz="0" w:space="0"/>
              </w:rPr>
              <w:t>表A.2  广东省食品行业科技创新先进单位评价表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7155" w:type="dxa"/>
            <w:gridSpan w:val="3"/>
            <w:vMerge w:val="restart"/>
            <w:tcBorders>
              <w:top w:val="nil"/>
              <w:left w:val="nil"/>
              <w:bottom w:val="single" w:color="auto" w:sz="4" w:space="0"/>
              <w:right w:val="nil"/>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u w:val="none"/>
                <w:bdr w:val="none" w:color="auto" w:sz="0" w:space="0"/>
              </w:rPr>
              <w:t>申报单位</w:t>
            </w:r>
            <w:r>
              <w:rPr>
                <w:rFonts w:hint="eastAsia" w:ascii="宋体" w:hAnsi="宋体" w:eastAsia="宋体" w:cs="宋体"/>
                <w:b/>
                <w:bCs/>
                <w:i w:val="0"/>
                <w:iCs w:val="0"/>
                <w:color w:val="000000"/>
                <w:sz w:val="22"/>
                <w:szCs w:val="22"/>
                <w:u w:val="none"/>
                <w:bdr w:val="none" w:color="auto" w:sz="0" w:space="0"/>
                <w:lang w:eastAsia="zh-CN"/>
              </w:rPr>
              <w:t>（盖章）</w:t>
            </w:r>
            <w:r>
              <w:rPr>
                <w:rFonts w:hint="eastAsia" w:ascii="宋体" w:hAnsi="宋体" w:eastAsia="宋体" w:cs="宋体"/>
                <w:b/>
                <w:bCs/>
                <w:i w:val="0"/>
                <w:iCs w:val="0"/>
                <w:color w:val="000000"/>
                <w:sz w:val="22"/>
                <w:szCs w:val="22"/>
                <w:u w:val="none"/>
                <w:bdr w:val="none" w:color="auto" w:sz="0" w:space="0"/>
              </w:rPr>
              <w:t>：</w:t>
            </w:r>
          </w:p>
        </w:tc>
        <w:tc>
          <w:tcPr>
            <w:tcW w:w="7440" w:type="dxa"/>
            <w:gridSpan w:val="3"/>
            <w:vMerge w:val="restart"/>
            <w:tcBorders>
              <w:top w:val="nil"/>
              <w:left w:val="nil"/>
              <w:bottom w:val="single" w:color="auto" w:sz="4" w:space="0"/>
              <w:right w:val="nil"/>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sz w:val="22"/>
                <w:szCs w:val="22"/>
                <w:u w:val="none"/>
                <w:bdr w:val="none" w:color="auto" w:sz="0" w:space="0"/>
              </w:rPr>
              <w:t>联系人和电话：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95" w:hRule="atLeast"/>
        </w:trPr>
        <w:tc>
          <w:tcPr>
            <w:tcW w:w="7155" w:type="dxa"/>
            <w:gridSpan w:val="3"/>
            <w:vMerge w:val="continue"/>
            <w:tcBorders>
              <w:top w:val="single" w:color="auto" w:sz="4" w:space="0"/>
              <w:left w:val="nil"/>
              <w:bottom w:val="single" w:color="auto" w:sz="4" w:space="0"/>
              <w:right w:val="nil"/>
            </w:tcBorders>
            <w:shd w:val="clear"/>
            <w:tcMar>
              <w:top w:w="15" w:type="dxa"/>
              <w:left w:w="15" w:type="dxa"/>
              <w:right w:w="15" w:type="dxa"/>
            </w:tcMar>
            <w:vAlign w:val="center"/>
          </w:tcPr>
          <w:p>
            <w:pPr>
              <w:jc w:val="both"/>
              <w:rPr>
                <w:rFonts w:hint="eastAsia" w:ascii="宋体" w:hAnsi="宋体" w:eastAsia="宋体" w:cs="宋体"/>
                <w:i w:val="0"/>
                <w:iCs w:val="0"/>
                <w:color w:val="000000"/>
                <w:sz w:val="22"/>
                <w:szCs w:val="22"/>
                <w:u w:val="none"/>
              </w:rPr>
            </w:pPr>
          </w:p>
        </w:tc>
        <w:tc>
          <w:tcPr>
            <w:tcW w:w="7440" w:type="dxa"/>
            <w:gridSpan w:val="3"/>
            <w:vMerge w:val="continue"/>
            <w:tcBorders>
              <w:top w:val="single" w:color="auto" w:sz="4" w:space="0"/>
              <w:left w:val="nil"/>
              <w:bottom w:val="single" w:color="auto" w:sz="4" w:space="0"/>
              <w:right w:val="nil"/>
            </w:tcBorders>
            <w:shd w:val="clear"/>
            <w:tcMar>
              <w:top w:w="15" w:type="dxa"/>
              <w:left w:w="15" w:type="dxa"/>
              <w:right w:w="15" w:type="dxa"/>
            </w:tcMar>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12" w:hRule="atLeast"/>
        </w:trPr>
        <w:tc>
          <w:tcPr>
            <w:tcW w:w="1695" w:type="dxa"/>
            <w:vMerge w:val="restart"/>
            <w:tcBorders>
              <w:top w:val="single" w:color="auto" w:sz="4" w:space="0"/>
              <w:left w:val="single" w:color="000000" w:sz="8" w:space="0"/>
              <w:bottom w:val="single" w:color="auto" w:sz="4"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iCs w:val="0"/>
                <w:color w:val="000000"/>
                <w:sz w:val="20"/>
                <w:szCs w:val="20"/>
                <w:u w:val="none"/>
              </w:rPr>
            </w:pPr>
            <w:r>
              <w:rPr>
                <w:rFonts w:hint="eastAsia" w:ascii="黑体" w:hAnsi="宋体" w:eastAsia="黑体" w:cs="黑体"/>
                <w:i w:val="0"/>
                <w:iCs w:val="0"/>
                <w:color w:val="000000"/>
                <w:sz w:val="20"/>
                <w:szCs w:val="20"/>
                <w:u w:val="none"/>
                <w:bdr w:val="none" w:color="auto" w:sz="0" w:space="0"/>
              </w:rPr>
              <w:t>项目/分值</w:t>
            </w:r>
          </w:p>
        </w:tc>
        <w:tc>
          <w:tcPr>
            <w:tcW w:w="3735" w:type="dxa"/>
            <w:vMerge w:val="restart"/>
            <w:tcBorders>
              <w:top w:val="single" w:color="auto" w:sz="4" w:space="0"/>
              <w:left w:val="nil"/>
              <w:bottom w:val="single" w:color="auto" w:sz="4"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sz w:val="20"/>
                <w:szCs w:val="20"/>
                <w:u w:val="none"/>
                <w:bdr w:val="none" w:color="auto" w:sz="0" w:space="0"/>
              </w:rPr>
              <w:t>评分标准</w:t>
            </w:r>
          </w:p>
        </w:tc>
        <w:tc>
          <w:tcPr>
            <w:tcW w:w="1725" w:type="dxa"/>
            <w:vMerge w:val="restart"/>
            <w:tcBorders>
              <w:top w:val="single" w:color="auto" w:sz="4" w:space="0"/>
              <w:left w:val="nil"/>
              <w:bottom w:val="single" w:color="auto" w:sz="4"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sz w:val="20"/>
                <w:szCs w:val="20"/>
                <w:u w:val="none"/>
                <w:bdr w:val="none" w:color="auto" w:sz="0" w:space="0"/>
              </w:rPr>
              <w:t>评分区间</w:t>
            </w:r>
          </w:p>
        </w:tc>
        <w:tc>
          <w:tcPr>
            <w:tcW w:w="1230" w:type="dxa"/>
            <w:vMerge w:val="restart"/>
            <w:tcBorders>
              <w:top w:val="single" w:color="auto" w:sz="4" w:space="0"/>
              <w:left w:val="nil"/>
              <w:bottom w:val="single" w:color="auto" w:sz="4"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sz w:val="20"/>
                <w:szCs w:val="20"/>
                <w:u w:val="none"/>
                <w:bdr w:val="none" w:color="auto" w:sz="0" w:space="0"/>
              </w:rPr>
              <w:t>自评分</w:t>
            </w:r>
          </w:p>
        </w:tc>
        <w:tc>
          <w:tcPr>
            <w:tcW w:w="5010" w:type="dxa"/>
            <w:vMerge w:val="restart"/>
            <w:tcBorders>
              <w:top w:val="single" w:color="auto" w:sz="4" w:space="0"/>
              <w:left w:val="nil"/>
              <w:bottom w:val="single" w:color="auto" w:sz="4"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sz w:val="20"/>
                <w:szCs w:val="20"/>
                <w:u w:val="none"/>
                <w:bdr w:val="none" w:color="auto" w:sz="0" w:space="0"/>
              </w:rPr>
              <w:t>评分说明</w:t>
            </w:r>
          </w:p>
        </w:tc>
        <w:tc>
          <w:tcPr>
            <w:tcW w:w="1200" w:type="dxa"/>
            <w:vMerge w:val="restart"/>
            <w:tcBorders>
              <w:top w:val="single" w:color="auto" w:sz="4" w:space="0"/>
              <w:left w:val="nil"/>
              <w:bottom w:val="single" w:color="auto" w:sz="4"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sz w:val="20"/>
                <w:szCs w:val="20"/>
                <w:u w:val="none"/>
                <w:bdr w:val="none" w:color="auto" w:sz="0" w:space="0"/>
              </w:rPr>
              <w:t>专家评分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12" w:hRule="atLeast"/>
        </w:trPr>
        <w:tc>
          <w:tcPr>
            <w:tcW w:w="1695" w:type="dxa"/>
            <w:vMerge w:val="continue"/>
            <w:tcBorders>
              <w:top w:val="single" w:color="auto" w:sz="4" w:space="0"/>
              <w:left w:val="single" w:color="000000" w:sz="8" w:space="0"/>
              <w:bottom w:val="single" w:color="auto" w:sz="4" w:space="0"/>
              <w:right w:val="single" w:color="000000" w:sz="8" w:space="0"/>
            </w:tcBorders>
            <w:shd w:val="clear"/>
            <w:tcMar>
              <w:top w:w="15" w:type="dxa"/>
              <w:left w:w="15" w:type="dxa"/>
              <w:right w:w="15" w:type="dxa"/>
            </w:tcMar>
            <w:vAlign w:val="center"/>
          </w:tcPr>
          <w:p>
            <w:pPr>
              <w:jc w:val="center"/>
              <w:rPr>
                <w:rFonts w:hint="eastAsia" w:ascii="黑体" w:hAnsi="宋体" w:eastAsia="黑体" w:cs="黑体"/>
                <w:i w:val="0"/>
                <w:iCs w:val="0"/>
                <w:color w:val="000000"/>
                <w:sz w:val="20"/>
                <w:szCs w:val="20"/>
                <w:u w:val="none"/>
              </w:rPr>
            </w:pPr>
          </w:p>
        </w:tc>
        <w:tc>
          <w:tcPr>
            <w:tcW w:w="3735" w:type="dxa"/>
            <w:vMerge w:val="continue"/>
            <w:tcBorders>
              <w:top w:val="single" w:color="auto" w:sz="4" w:space="0"/>
              <w:left w:val="nil"/>
              <w:bottom w:val="single" w:color="auto" w:sz="4" w:space="0"/>
              <w:right w:val="single" w:color="000000" w:sz="8" w:space="0"/>
            </w:tcBorders>
            <w:shd w:val="clear"/>
            <w:tcMar>
              <w:top w:w="15" w:type="dxa"/>
              <w:left w:w="15" w:type="dxa"/>
              <w:right w:w="15" w:type="dxa"/>
            </w:tcMar>
            <w:vAlign w:val="center"/>
          </w:tcPr>
          <w:p>
            <w:pPr>
              <w:jc w:val="center"/>
              <w:rPr>
                <w:rFonts w:hint="eastAsia" w:ascii="黑体" w:hAnsi="宋体" w:eastAsia="黑体" w:cs="黑体"/>
                <w:i w:val="0"/>
                <w:iCs w:val="0"/>
                <w:color w:val="000000"/>
                <w:sz w:val="20"/>
                <w:szCs w:val="20"/>
                <w:u w:val="none"/>
              </w:rPr>
            </w:pPr>
          </w:p>
        </w:tc>
        <w:tc>
          <w:tcPr>
            <w:tcW w:w="1725" w:type="dxa"/>
            <w:vMerge w:val="continue"/>
            <w:tcBorders>
              <w:top w:val="single" w:color="auto" w:sz="4" w:space="0"/>
              <w:left w:val="nil"/>
              <w:bottom w:val="single" w:color="auto" w:sz="4" w:space="0"/>
              <w:right w:val="single" w:color="000000" w:sz="8" w:space="0"/>
            </w:tcBorders>
            <w:shd w:val="clear"/>
            <w:tcMar>
              <w:top w:w="15" w:type="dxa"/>
              <w:left w:w="15" w:type="dxa"/>
              <w:right w:w="15" w:type="dxa"/>
            </w:tcMar>
            <w:vAlign w:val="center"/>
          </w:tcPr>
          <w:p>
            <w:pPr>
              <w:jc w:val="center"/>
              <w:rPr>
                <w:rFonts w:hint="eastAsia" w:ascii="黑体" w:hAnsi="宋体" w:eastAsia="黑体" w:cs="黑体"/>
                <w:i w:val="0"/>
                <w:iCs w:val="0"/>
                <w:color w:val="000000"/>
                <w:sz w:val="20"/>
                <w:szCs w:val="20"/>
                <w:u w:val="none"/>
              </w:rPr>
            </w:pPr>
          </w:p>
        </w:tc>
        <w:tc>
          <w:tcPr>
            <w:tcW w:w="1230" w:type="dxa"/>
            <w:vMerge w:val="continue"/>
            <w:tcBorders>
              <w:top w:val="single" w:color="auto" w:sz="4" w:space="0"/>
              <w:left w:val="nil"/>
              <w:bottom w:val="single" w:color="auto" w:sz="4" w:space="0"/>
              <w:right w:val="single" w:color="000000" w:sz="8" w:space="0"/>
            </w:tcBorders>
            <w:shd w:val="clear"/>
            <w:tcMar>
              <w:top w:w="15" w:type="dxa"/>
              <w:left w:w="15" w:type="dxa"/>
              <w:right w:w="15" w:type="dxa"/>
            </w:tcMar>
            <w:vAlign w:val="center"/>
          </w:tcPr>
          <w:p>
            <w:pPr>
              <w:jc w:val="center"/>
              <w:rPr>
                <w:rFonts w:hint="eastAsia" w:ascii="黑体" w:hAnsi="宋体" w:eastAsia="黑体" w:cs="黑体"/>
                <w:i w:val="0"/>
                <w:iCs w:val="0"/>
                <w:color w:val="000000"/>
                <w:sz w:val="20"/>
                <w:szCs w:val="20"/>
                <w:u w:val="none"/>
              </w:rPr>
            </w:pPr>
          </w:p>
        </w:tc>
        <w:tc>
          <w:tcPr>
            <w:tcW w:w="5010" w:type="dxa"/>
            <w:vMerge w:val="continue"/>
            <w:tcBorders>
              <w:top w:val="single" w:color="auto" w:sz="4" w:space="0"/>
              <w:left w:val="nil"/>
              <w:bottom w:val="single" w:color="auto" w:sz="4" w:space="0"/>
              <w:right w:val="single" w:color="000000" w:sz="8" w:space="0"/>
            </w:tcBorders>
            <w:shd w:val="clear"/>
            <w:tcMar>
              <w:top w:w="15" w:type="dxa"/>
              <w:left w:w="15" w:type="dxa"/>
              <w:right w:w="15" w:type="dxa"/>
            </w:tcMar>
            <w:vAlign w:val="center"/>
          </w:tcPr>
          <w:p>
            <w:pPr>
              <w:jc w:val="center"/>
              <w:rPr>
                <w:rFonts w:hint="eastAsia" w:ascii="黑体" w:hAnsi="宋体" w:eastAsia="黑体" w:cs="黑体"/>
                <w:i w:val="0"/>
                <w:iCs w:val="0"/>
                <w:color w:val="000000"/>
                <w:sz w:val="20"/>
                <w:szCs w:val="20"/>
                <w:u w:val="none"/>
              </w:rPr>
            </w:pPr>
          </w:p>
        </w:tc>
        <w:tc>
          <w:tcPr>
            <w:tcW w:w="1200" w:type="dxa"/>
            <w:vMerge w:val="continue"/>
            <w:tcBorders>
              <w:top w:val="single" w:color="auto" w:sz="4" w:space="0"/>
              <w:left w:val="nil"/>
              <w:bottom w:val="single" w:color="auto" w:sz="4" w:space="0"/>
              <w:right w:val="single" w:color="000000" w:sz="8" w:space="0"/>
            </w:tcBorders>
            <w:shd w:val="clear"/>
            <w:tcMar>
              <w:top w:w="15" w:type="dxa"/>
              <w:left w:w="15" w:type="dxa"/>
              <w:right w:w="15" w:type="dxa"/>
            </w:tcMar>
            <w:vAlign w:val="center"/>
          </w:tcPr>
          <w:p>
            <w:pPr>
              <w:jc w:val="center"/>
              <w:rPr>
                <w:rFonts w:hint="eastAsia" w:ascii="黑体" w:hAnsi="宋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40" w:hRule="atLeast"/>
        </w:trPr>
        <w:tc>
          <w:tcPr>
            <w:tcW w:w="1695" w:type="dxa"/>
            <w:vMerge w:val="restart"/>
            <w:tcBorders>
              <w:top w:val="single" w:color="auto" w:sz="4"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1.前置条件</w:t>
            </w:r>
          </w:p>
        </w:tc>
        <w:tc>
          <w:tcPr>
            <w:tcW w:w="3735" w:type="dxa"/>
            <w:tcBorders>
              <w:top w:val="single" w:color="auto" w:sz="4"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申请单位注册成立满三年。</w:t>
            </w:r>
          </w:p>
        </w:tc>
        <w:tc>
          <w:tcPr>
            <w:tcW w:w="1725" w:type="dxa"/>
            <w:tcBorders>
              <w:top w:val="single" w:color="auto" w:sz="4" w:space="0"/>
              <w:left w:val="nil"/>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1230" w:type="dxa"/>
            <w:tcBorders>
              <w:top w:val="single" w:color="auto" w:sz="4"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
                <w:bdr w:val="none" w:color="auto" w:sz="0" w:space="0"/>
              </w:rPr>
              <w:t>□是  □否</w:t>
            </w:r>
          </w:p>
        </w:tc>
        <w:tc>
          <w:tcPr>
            <w:tcW w:w="5010" w:type="dxa"/>
            <w:tcBorders>
              <w:top w:val="single" w:color="auto" w:sz="4" w:space="0"/>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1200" w:type="dxa"/>
            <w:tcBorders>
              <w:top w:val="single" w:color="auto" w:sz="4"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
                <w:bdr w:val="none" w:color="auto" w:sz="0" w:space="0"/>
              </w:rPr>
              <w:t>□是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20" w:hRule="atLeast"/>
        </w:trPr>
        <w:tc>
          <w:tcPr>
            <w:tcW w:w="1695" w:type="dxa"/>
            <w:vMerge w:val="continue"/>
            <w:tcBorders>
              <w:top w:val="nil"/>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3735"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申请评价前一年内未发生重大安全、重大质量事故或严重环境违法行为。</w:t>
            </w:r>
          </w:p>
        </w:tc>
        <w:tc>
          <w:tcPr>
            <w:tcW w:w="1725" w:type="dxa"/>
            <w:tcBorders>
              <w:top w:val="nil"/>
              <w:left w:val="nil"/>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1230"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
                <w:bdr w:val="none" w:color="auto" w:sz="0" w:space="0"/>
              </w:rPr>
              <w:t>□是  □否</w:t>
            </w:r>
          </w:p>
        </w:tc>
        <w:tc>
          <w:tcPr>
            <w:tcW w:w="5010" w:type="dxa"/>
            <w:tcBorders>
              <w:top w:val="nil"/>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1200"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
                <w:bdr w:val="none" w:color="auto" w:sz="0" w:space="0"/>
              </w:rPr>
              <w:t>□是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525" w:hRule="atLeast"/>
        </w:trPr>
        <w:tc>
          <w:tcPr>
            <w:tcW w:w="1695" w:type="dxa"/>
            <w:vMerge w:val="continue"/>
            <w:tcBorders>
              <w:top w:val="nil"/>
              <w:left w:val="single" w:color="000000" w:sz="8" w:space="0"/>
              <w:bottom w:val="single" w:color="000000" w:sz="8" w:space="0"/>
              <w:right w:val="single" w:color="000000" w:sz="8" w:space="0"/>
            </w:tcBorders>
            <w:shd w:val="clear"/>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3735"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①本单位主导完成的科技创新项目或研发的新产品在近两年内被国家、省有关部门评为国家、省科学技术奖及相关科技创新类奖项或广东省食品行业协会科学技术奖（二等奖以上）、优秀新产品（一等奖）。</w:t>
            </w:r>
            <w:r>
              <w:rPr>
                <w:rFonts w:hint="eastAsia" w:ascii="宋体" w:hAnsi="宋体" w:eastAsia="宋体" w:cs="宋体"/>
                <w:i w:val="0"/>
                <w:iCs w:val="0"/>
                <w:color w:val="000000"/>
                <w:sz w:val="20"/>
                <w:szCs w:val="20"/>
                <w:u w:val="none"/>
                <w:bdr w:val="none" w:color="auto" w:sz="0" w:space="0"/>
              </w:rPr>
              <w:br w:type="textWrapping"/>
            </w:r>
            <w:r>
              <w:rPr>
                <w:rFonts w:hint="eastAsia" w:ascii="宋体" w:hAnsi="宋体" w:eastAsia="宋体" w:cs="宋体"/>
                <w:i w:val="0"/>
                <w:iCs w:val="0"/>
                <w:color w:val="000000"/>
                <w:sz w:val="20"/>
                <w:szCs w:val="20"/>
                <w:u w:val="none"/>
                <w:bdr w:val="none" w:color="auto" w:sz="0" w:space="0"/>
              </w:rPr>
              <w:t>②若近两年以来无获上述奖项，则其主持或主要参加的科技创新项目或研发的新产品，需一并申报并被推荐为本年度广东省食品行业协会科学技术奖（二等奖以上）、广东省食品行业优秀新产品（一等奖）。</w:t>
            </w:r>
          </w:p>
        </w:tc>
        <w:tc>
          <w:tcPr>
            <w:tcW w:w="1725"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符合两种情况之一</w:t>
            </w:r>
          </w:p>
        </w:tc>
        <w:tc>
          <w:tcPr>
            <w:tcW w:w="1230"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
                <w:bdr w:val="none" w:color="auto" w:sz="0" w:space="0"/>
              </w:rPr>
              <w:t>□是  □否</w:t>
            </w:r>
          </w:p>
        </w:tc>
        <w:tc>
          <w:tcPr>
            <w:tcW w:w="5010" w:type="dxa"/>
            <w:tcBorders>
              <w:top w:val="nil"/>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bookmarkStart w:id="0" w:name="_GoBack"/>
            <w:bookmarkEnd w:id="0"/>
          </w:p>
        </w:tc>
        <w:tc>
          <w:tcPr>
            <w:tcW w:w="1200"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4"/>
                <w:bdr w:val="none" w:color="auto" w:sz="0" w:space="0"/>
              </w:rPr>
              <w:t>□是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268" w:hRule="atLeast"/>
        </w:trPr>
        <w:tc>
          <w:tcPr>
            <w:tcW w:w="169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2.单位类型（5分）</w:t>
            </w:r>
          </w:p>
        </w:tc>
        <w:tc>
          <w:tcPr>
            <w:tcW w:w="3735"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申报单位已获得高新技术企业、科技型中小企业、民营科技企业等科技创新相关称号。每具有一项称号可得2.5分。</w:t>
            </w:r>
          </w:p>
        </w:tc>
        <w:tc>
          <w:tcPr>
            <w:tcW w:w="1725"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0-5分</w:t>
            </w:r>
          </w:p>
        </w:tc>
        <w:tc>
          <w:tcPr>
            <w:tcW w:w="1230" w:type="dxa"/>
            <w:tcBorders>
              <w:top w:val="nil"/>
              <w:left w:val="nil"/>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010" w:type="dxa"/>
            <w:tcBorders>
              <w:top w:val="nil"/>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0"/>
                <w:szCs w:val="20"/>
                <w:u w:val="none"/>
              </w:rPr>
            </w:pPr>
          </w:p>
        </w:tc>
        <w:tc>
          <w:tcPr>
            <w:tcW w:w="1200" w:type="dxa"/>
            <w:tcBorders>
              <w:top w:val="nil"/>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268" w:hRule="atLeast"/>
        </w:trPr>
        <w:tc>
          <w:tcPr>
            <w:tcW w:w="169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3.研发经费投入与支出情况（20分）</w:t>
            </w:r>
          </w:p>
        </w:tc>
        <w:tc>
          <w:tcPr>
            <w:tcW w:w="3735"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近一年研发费用总额占销售收入总额的比例不低于3%。达到此比例得15分，参照此比例酌情评分。</w:t>
            </w:r>
          </w:p>
        </w:tc>
        <w:tc>
          <w:tcPr>
            <w:tcW w:w="1725"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10-20分</w:t>
            </w:r>
          </w:p>
        </w:tc>
        <w:tc>
          <w:tcPr>
            <w:tcW w:w="1230" w:type="dxa"/>
            <w:tcBorders>
              <w:top w:val="nil"/>
              <w:left w:val="nil"/>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010" w:type="dxa"/>
            <w:tcBorders>
              <w:top w:val="nil"/>
              <w:left w:val="nil"/>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1200" w:type="dxa"/>
            <w:tcBorders>
              <w:top w:val="nil"/>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268" w:hRule="atLeast"/>
        </w:trPr>
        <w:tc>
          <w:tcPr>
            <w:tcW w:w="1695" w:type="dxa"/>
            <w:tcBorders>
              <w:top w:val="nil"/>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4.研发及科研人员构成情况（10分）</w:t>
            </w:r>
          </w:p>
        </w:tc>
        <w:tc>
          <w:tcPr>
            <w:tcW w:w="3735"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拥有一支结构合理、水平较高的科技创新人才队伍，其中高、中级职称或本科学历以上的技术人员占15%以上。达到此比例得8分，参照此比例酌情评分。</w:t>
            </w:r>
          </w:p>
        </w:tc>
        <w:tc>
          <w:tcPr>
            <w:tcW w:w="1725"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5-10分</w:t>
            </w:r>
          </w:p>
        </w:tc>
        <w:tc>
          <w:tcPr>
            <w:tcW w:w="1230" w:type="dxa"/>
            <w:tcBorders>
              <w:top w:val="nil"/>
              <w:left w:val="nil"/>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010" w:type="dxa"/>
            <w:tcBorders>
              <w:top w:val="nil"/>
              <w:left w:val="nil"/>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1200" w:type="dxa"/>
            <w:tcBorders>
              <w:top w:val="nil"/>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268" w:hRule="atLeast"/>
        </w:trPr>
        <w:tc>
          <w:tcPr>
            <w:tcW w:w="1695" w:type="dxa"/>
            <w:tcBorders>
              <w:top w:val="nil"/>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5.专利申请、授权及转让情况（25分）</w:t>
            </w:r>
          </w:p>
        </w:tc>
        <w:tc>
          <w:tcPr>
            <w:tcW w:w="3735"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通过自主研发、受让、受赠、并购等方式，获得对其主要产品（服务）在技术上发挥核心支持作用的知识产权的所有权；根据知识产权数量、应用情况酌情评分。</w:t>
            </w:r>
          </w:p>
        </w:tc>
        <w:tc>
          <w:tcPr>
            <w:tcW w:w="1725"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15-25分</w:t>
            </w:r>
          </w:p>
        </w:tc>
        <w:tc>
          <w:tcPr>
            <w:tcW w:w="1230" w:type="dxa"/>
            <w:tcBorders>
              <w:top w:val="nil"/>
              <w:left w:val="nil"/>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010" w:type="dxa"/>
            <w:tcBorders>
              <w:top w:val="nil"/>
              <w:left w:val="nil"/>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1200" w:type="dxa"/>
            <w:tcBorders>
              <w:top w:val="nil"/>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268" w:hRule="atLeast"/>
        </w:trPr>
        <w:tc>
          <w:tcPr>
            <w:tcW w:w="1695" w:type="dxa"/>
            <w:tcBorders>
              <w:top w:val="nil"/>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6.新产品研发、销售及出口情况（20分）</w:t>
            </w:r>
          </w:p>
        </w:tc>
        <w:tc>
          <w:tcPr>
            <w:tcW w:w="3735"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根据申报单位新产品研发、销售及出口情况酌情评分。</w:t>
            </w:r>
          </w:p>
        </w:tc>
        <w:tc>
          <w:tcPr>
            <w:tcW w:w="1725" w:type="dxa"/>
            <w:tcBorders>
              <w:top w:val="nil"/>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10-20分</w:t>
            </w:r>
          </w:p>
        </w:tc>
        <w:tc>
          <w:tcPr>
            <w:tcW w:w="1230" w:type="dxa"/>
            <w:tcBorders>
              <w:top w:val="nil"/>
              <w:left w:val="nil"/>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010" w:type="dxa"/>
            <w:tcBorders>
              <w:top w:val="nil"/>
              <w:left w:val="nil"/>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1200" w:type="dxa"/>
            <w:tcBorders>
              <w:top w:val="nil"/>
              <w:left w:val="nil"/>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268" w:hRule="atLeast"/>
        </w:trPr>
        <w:tc>
          <w:tcPr>
            <w:tcW w:w="169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7.全员劳动生产率情况（10分）</w:t>
            </w:r>
          </w:p>
        </w:tc>
        <w:tc>
          <w:tcPr>
            <w:tcW w:w="373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根据申报单位全员劳动生产率情况酌情评分。</w:t>
            </w:r>
          </w:p>
        </w:tc>
        <w:tc>
          <w:tcPr>
            <w:tcW w:w="1725"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5-10分</w:t>
            </w:r>
          </w:p>
        </w:tc>
        <w:tc>
          <w:tcPr>
            <w:tcW w:w="1230" w:type="dxa"/>
            <w:tcBorders>
              <w:top w:val="single" w:color="000000" w:sz="8" w:space="0"/>
              <w:left w:val="single" w:color="000000" w:sz="8" w:space="0"/>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01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120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both"/>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268" w:hRule="atLeast"/>
        </w:trPr>
        <w:tc>
          <w:tcPr>
            <w:tcW w:w="1695" w:type="dxa"/>
            <w:tcBorders>
              <w:top w:val="single" w:color="000000" w:sz="8" w:space="0"/>
              <w:left w:val="single" w:color="000000" w:sz="8" w:space="0"/>
              <w:bottom w:val="nil"/>
              <w:right w:val="single" w:color="000000" w:sz="8"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8.主持或参与制（修）订标准情况（10分）</w:t>
            </w:r>
          </w:p>
        </w:tc>
        <w:tc>
          <w:tcPr>
            <w:tcW w:w="3735"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根据申报单位主持或参与制（修）订国家、行业、地方或团体标准的情况酌情评分。</w:t>
            </w:r>
          </w:p>
        </w:tc>
        <w:tc>
          <w:tcPr>
            <w:tcW w:w="1725"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bdr w:val="none" w:color="auto" w:sz="0" w:space="0"/>
              </w:rPr>
              <w:t>5-10分</w:t>
            </w:r>
          </w:p>
        </w:tc>
        <w:tc>
          <w:tcPr>
            <w:tcW w:w="1230" w:type="dxa"/>
            <w:tcBorders>
              <w:top w:val="single" w:color="000000" w:sz="8" w:space="0"/>
              <w:left w:val="nil"/>
              <w:bottom w:val="single" w:color="000000" w:sz="8" w:space="0"/>
              <w:right w:val="single" w:color="000000" w:sz="8" w:space="0"/>
            </w:tcBorders>
            <w:shd w:val="clear"/>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5010"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0"/>
                <w:szCs w:val="20"/>
                <w:u w:val="none"/>
              </w:rPr>
            </w:pPr>
          </w:p>
        </w:tc>
        <w:tc>
          <w:tcPr>
            <w:tcW w:w="1200" w:type="dxa"/>
            <w:tcBorders>
              <w:top w:val="single" w:color="000000" w:sz="8" w:space="0"/>
              <w:left w:val="nil"/>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540" w:hRule="atLeast"/>
        </w:trPr>
        <w:tc>
          <w:tcPr>
            <w:tcW w:w="7155" w:type="dxa"/>
            <w:gridSpan w:val="3"/>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c>
          <w:tcPr>
            <w:tcW w:w="123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bdr w:val="none" w:color="auto" w:sz="0" w:space="0"/>
              </w:rPr>
              <w:t>总分</w:t>
            </w:r>
          </w:p>
        </w:tc>
        <w:tc>
          <w:tcPr>
            <w:tcW w:w="501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c>
          <w:tcPr>
            <w:tcW w:w="120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1695" w:type="dxa"/>
            <w:vMerge w:val="restart"/>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bdr w:val="none" w:color="auto" w:sz="0" w:space="0"/>
              </w:rPr>
              <w:t>推荐意见</w:t>
            </w:r>
          </w:p>
        </w:tc>
        <w:tc>
          <w:tcPr>
            <w:tcW w:w="12900" w:type="dxa"/>
            <w:gridSpan w:val="5"/>
            <w:vMerge w:val="restart"/>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1695" w:type="dxa"/>
            <w:vMerge w:val="continue"/>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c>
          <w:tcPr>
            <w:tcW w:w="12900" w:type="dxa"/>
            <w:gridSpan w:val="5"/>
            <w:vMerge w:val="continue"/>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715" w:hRule="atLeast"/>
        </w:trPr>
        <w:tc>
          <w:tcPr>
            <w:tcW w:w="1695" w:type="dxa"/>
            <w:vMerge w:val="continue"/>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c>
          <w:tcPr>
            <w:tcW w:w="12900" w:type="dxa"/>
            <w:gridSpan w:val="5"/>
            <w:vMerge w:val="continue"/>
            <w:tcBorders>
              <w:top w:val="nil"/>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14595" w:type="dxa"/>
            <w:gridSpan w:val="6"/>
            <w:vMerge w:val="restart"/>
            <w:tcBorders>
              <w:top w:val="nil"/>
              <w:left w:val="nil"/>
              <w:bottom w:val="nil"/>
              <w:right w:val="nil"/>
            </w:tcBorders>
            <w:shd w:val="clear"/>
            <w:tcMar>
              <w:top w:w="15" w:type="dxa"/>
              <w:left w:w="15" w:type="dxa"/>
              <w:right w:w="15" w:type="dxa"/>
            </w:tcMar>
            <w:vAlign w:val="center"/>
          </w:tcPr>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rPr>
              <w:t>注：评价表中评价项目自评分和专家评分须以申报表填报内容或有效佐证资料为依据。若无佐证资料则相关评价项目或指标不得分。相关依据在“自评说明”栏简要说明：</w:t>
            </w:r>
          </w:p>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rPr>
              <w:t>a）属申报表内容的，说明该内容在申报表中页码，如申报表P3。</w:t>
            </w:r>
          </w:p>
          <w:p>
            <w:pPr>
              <w:keepNext w:val="0"/>
              <w:keepLines w:val="0"/>
              <w:widowControl/>
              <w:suppressLineNumbers w:val="0"/>
              <w:ind w:firstLineChars="200"/>
              <w:jc w:val="left"/>
              <w:textAlignment w:val="center"/>
              <w:rPr>
                <w:rFonts w:hint="eastAsia" w:ascii="宋体" w:hAnsi="宋体" w:eastAsia="宋体" w:cs="宋体"/>
                <w:i w:val="0"/>
                <w:iCs w:val="0"/>
                <w:color w:val="000000"/>
                <w:sz w:val="18"/>
                <w:szCs w:val="18"/>
                <w:u w:val="none"/>
                <w:bdr w:val="none" w:color="auto" w:sz="0" w:space="0"/>
              </w:rPr>
            </w:pPr>
            <w:r>
              <w:rPr>
                <w:rFonts w:hint="eastAsia" w:ascii="宋体" w:hAnsi="宋体" w:eastAsia="宋体" w:cs="宋体"/>
                <w:i w:val="0"/>
                <w:iCs w:val="0"/>
                <w:color w:val="000000"/>
                <w:sz w:val="18"/>
                <w:szCs w:val="18"/>
                <w:u w:val="none"/>
                <w:bdr w:val="none" w:color="auto" w:sz="0" w:space="0"/>
              </w:rPr>
              <w:t>b）另附佐证材料的，则写明材料名称。</w:t>
            </w:r>
          </w:p>
          <w:p>
            <w:pPr>
              <w:keepNext w:val="0"/>
              <w:keepLines w:val="0"/>
              <w:widowControl/>
              <w:suppressLineNumbers w:val="0"/>
              <w:ind w:firstLineChars="200"/>
              <w:jc w:val="left"/>
              <w:textAlignment w:val="center"/>
              <w:rPr>
                <w:rFonts w:hint="default" w:ascii="宋体" w:hAnsi="宋体" w:eastAsia="宋体" w:cs="宋体"/>
                <w:i w:val="0"/>
                <w:iCs w:val="0"/>
                <w:color w:val="000000"/>
                <w:sz w:val="18"/>
                <w:szCs w:val="18"/>
                <w:u w:val="none"/>
                <w:bdr w:val="none" w:color="auto" w:sz="0" w:space="0"/>
                <w:lang w:val="en-US" w:eastAsia="zh-CN"/>
              </w:rPr>
            </w:pPr>
            <w:r>
              <w:rPr>
                <w:rFonts w:hint="eastAsia" w:ascii="宋体" w:hAnsi="宋体" w:eastAsia="宋体" w:cs="宋体"/>
                <w:i w:val="0"/>
                <w:iCs w:val="0"/>
                <w:color w:val="000000"/>
                <w:sz w:val="18"/>
                <w:szCs w:val="18"/>
                <w:u w:val="none"/>
                <w:bdr w:val="none" w:color="auto" w:sz="0" w:space="0"/>
                <w:lang w:val="en-US" w:eastAsia="zh-CN"/>
              </w:rPr>
              <w:t>c）本表采用A3双面打印，一式两份。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4595" w:type="dxa"/>
            <w:gridSpan w:val="6"/>
            <w:vMerge w:val="continue"/>
            <w:tcBorders>
              <w:top w:val="nil"/>
              <w:left w:val="nil"/>
              <w:bottom w:val="nil"/>
              <w:right w:val="nil"/>
            </w:tcBorders>
            <w:shd w:val="clear"/>
            <w:tcMar>
              <w:top w:w="15" w:type="dxa"/>
              <w:left w:w="15" w:type="dxa"/>
              <w:right w:w="15" w:type="dxa"/>
            </w:tcMar>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trPr>
        <w:tc>
          <w:tcPr>
            <w:tcW w:w="14595" w:type="dxa"/>
            <w:gridSpan w:val="6"/>
            <w:vMerge w:val="continue"/>
            <w:tcBorders>
              <w:top w:val="nil"/>
              <w:left w:val="nil"/>
              <w:bottom w:val="nil"/>
              <w:right w:val="nil"/>
            </w:tcBorders>
            <w:shd w:val="clear"/>
            <w:tcMar>
              <w:top w:w="15" w:type="dxa"/>
              <w:left w:w="15" w:type="dxa"/>
              <w:right w:w="15" w:type="dxa"/>
            </w:tcMar>
            <w:vAlign w:val="center"/>
          </w:tcPr>
          <w:p>
            <w:pPr>
              <w:jc w:val="left"/>
              <w:rPr>
                <w:rFonts w:hint="eastAsia" w:ascii="宋体" w:hAnsi="宋体" w:eastAsia="宋体" w:cs="宋体"/>
                <w:i w:val="0"/>
                <w:iCs w:val="0"/>
                <w:color w:val="000000"/>
                <w:sz w:val="18"/>
                <w:szCs w:val="18"/>
                <w:u w:val="none"/>
              </w:rPr>
            </w:pPr>
          </w:p>
        </w:tc>
      </w:tr>
    </w:tbl>
    <w:p/>
    <w:p/>
    <w:p/>
    <w:p/>
    <w:p>
      <w:pPr>
        <w:rPr>
          <w:rFonts w:hint="eastAsia"/>
          <w:b/>
          <w:bCs/>
          <w:sz w:val="32"/>
          <w:szCs w:val="32"/>
          <w:lang w:eastAsia="zh-CN"/>
        </w:rPr>
      </w:pPr>
      <w:r>
        <w:rPr>
          <w:rFonts w:hint="eastAsia"/>
          <w:b/>
          <w:bCs/>
          <w:sz w:val="32"/>
          <w:szCs w:val="32"/>
          <w:lang w:eastAsia="zh-CN"/>
        </w:rPr>
        <w:t>专家签名：</w:t>
      </w:r>
    </w:p>
    <w:p>
      <w:pPr>
        <w:rPr>
          <w:rFonts w:hint="eastAsia"/>
          <w:b/>
          <w:bCs/>
          <w:sz w:val="32"/>
          <w:szCs w:val="32"/>
          <w:lang w:eastAsia="zh-CN"/>
        </w:rPr>
      </w:pPr>
    </w:p>
    <w:p>
      <w:pPr>
        <w:ind w:firstLine="7068" w:firstLineChars="2200"/>
        <w:rPr>
          <w:rFonts w:hint="default"/>
          <w:b/>
          <w:bCs/>
          <w:sz w:val="32"/>
          <w:szCs w:val="32"/>
          <w:lang w:val="en-US" w:eastAsia="zh-CN"/>
        </w:rPr>
      </w:pPr>
      <w:r>
        <w:rPr>
          <w:rFonts w:hint="eastAsia"/>
          <w:b/>
          <w:bCs/>
          <w:sz w:val="32"/>
          <w:szCs w:val="32"/>
          <w:lang w:eastAsia="zh-CN"/>
        </w:rPr>
        <w:t>年</w:t>
      </w:r>
      <w:r>
        <w:rPr>
          <w:rFonts w:hint="eastAsia"/>
          <w:b/>
          <w:bCs/>
          <w:sz w:val="32"/>
          <w:szCs w:val="32"/>
          <w:lang w:val="en-US" w:eastAsia="zh-CN"/>
        </w:rPr>
        <w:t xml:space="preserve">   月   日</w:t>
      </w:r>
    </w:p>
    <w:sectPr>
      <w:pgSz w:w="16838" w:h="23811"/>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1F1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31"/>
    <w:basedOn w:val="3"/>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2021-10-13T01:45:10Z</dcterms:created>
  <dc:creator>Administrator</dc:creator>
  <cp:lastModifiedBy>Margaret</cp:lastModifiedBy>
  <dcterms:modified xsi:type="dcterms:W3CDTF">2021-10-13T01:51:40Z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ADB54C16C3E7432E91272E1851DEF1F2</vt:lpwstr>
  </property>
</Properties>
</file>